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DF2" w14:textId="0C219452" w:rsidR="00AA3861" w:rsidRPr="00AA3861" w:rsidRDefault="00AA3861" w:rsidP="00AA3861">
      <w:pPr>
        <w:spacing w:line="440" w:lineRule="exact"/>
        <w:jc w:val="center"/>
        <w:rPr>
          <w:rFonts w:ascii="仿宋" w:eastAsia="仿宋" w:hAnsi="仿宋" w:hint="eastAsia"/>
          <w:b/>
          <w:bCs/>
          <w:sz w:val="32"/>
          <w:szCs w:val="32"/>
        </w:rPr>
      </w:pPr>
      <w:r w:rsidRPr="00AA3861">
        <w:rPr>
          <w:rFonts w:ascii="仿宋" w:eastAsia="仿宋" w:hAnsi="仿宋" w:cs="Arial"/>
          <w:b/>
          <w:bCs/>
          <w:kern w:val="0"/>
          <w:sz w:val="32"/>
          <w:szCs w:val="32"/>
        </w:rPr>
        <w:t>链状念珠</w:t>
      </w:r>
      <w:proofErr w:type="gramStart"/>
      <w:r w:rsidRPr="00AA3861">
        <w:rPr>
          <w:rFonts w:ascii="仿宋" w:eastAsia="仿宋" w:hAnsi="仿宋" w:cs="Arial"/>
          <w:b/>
          <w:bCs/>
          <w:kern w:val="0"/>
          <w:sz w:val="32"/>
          <w:szCs w:val="32"/>
        </w:rPr>
        <w:t>菌</w:t>
      </w:r>
      <w:proofErr w:type="gramEnd"/>
      <w:r w:rsidRPr="00AA3861">
        <w:rPr>
          <w:rFonts w:ascii="仿宋" w:eastAsia="仿宋" w:hAnsi="仿宋" w:cs="Arial"/>
          <w:b/>
          <w:bCs/>
          <w:kern w:val="0"/>
          <w:sz w:val="32"/>
          <w:szCs w:val="32"/>
        </w:rPr>
        <w:t>ERG11和FKS1基因错义突变点导致</w:t>
      </w:r>
      <w:proofErr w:type="gramStart"/>
      <w:r w:rsidRPr="00AA3861">
        <w:rPr>
          <w:rFonts w:ascii="仿宋" w:eastAsia="仿宋" w:hAnsi="仿宋" w:cs="Arial"/>
          <w:b/>
          <w:bCs/>
          <w:kern w:val="0"/>
          <w:sz w:val="32"/>
          <w:szCs w:val="32"/>
        </w:rPr>
        <w:t>唑</w:t>
      </w:r>
      <w:proofErr w:type="gramEnd"/>
      <w:r w:rsidRPr="00AA3861">
        <w:rPr>
          <w:rFonts w:ascii="仿宋" w:eastAsia="仿宋" w:hAnsi="仿宋" w:cs="Arial"/>
          <w:b/>
          <w:bCs/>
          <w:kern w:val="0"/>
          <w:sz w:val="32"/>
          <w:szCs w:val="32"/>
        </w:rPr>
        <w:t>类和</w:t>
      </w:r>
      <w:proofErr w:type="gramStart"/>
      <w:r w:rsidRPr="00AA3861">
        <w:rPr>
          <w:rFonts w:ascii="仿宋" w:eastAsia="仿宋" w:hAnsi="仿宋" w:cs="Arial"/>
          <w:b/>
          <w:bCs/>
          <w:kern w:val="0"/>
          <w:sz w:val="32"/>
          <w:szCs w:val="32"/>
        </w:rPr>
        <w:t>棘</w:t>
      </w:r>
      <w:proofErr w:type="gramEnd"/>
      <w:r w:rsidRPr="00AA3861">
        <w:rPr>
          <w:rFonts w:ascii="仿宋" w:eastAsia="仿宋" w:hAnsi="仿宋" w:cs="Arial"/>
          <w:b/>
          <w:bCs/>
          <w:kern w:val="0"/>
          <w:sz w:val="32"/>
          <w:szCs w:val="32"/>
        </w:rPr>
        <w:t>白菌素类耐药机制研究</w:t>
      </w:r>
    </w:p>
    <w:p w14:paraId="4E8602A9" w14:textId="77777777" w:rsidR="00AA3861" w:rsidRDefault="00AA3861" w:rsidP="00AA3861">
      <w:pPr>
        <w:spacing w:line="440" w:lineRule="exact"/>
        <w:ind w:firstLineChars="200" w:firstLine="560"/>
        <w:rPr>
          <w:rFonts w:ascii="仿宋" w:eastAsia="仿宋" w:hAnsi="仿宋"/>
          <w:sz w:val="28"/>
          <w:szCs w:val="28"/>
        </w:rPr>
      </w:pPr>
    </w:p>
    <w:p w14:paraId="4BBE4D67" w14:textId="4095D12A" w:rsidR="00EC77E9" w:rsidRPr="00AA3861" w:rsidRDefault="00000000" w:rsidP="00AA3861">
      <w:pPr>
        <w:spacing w:line="440" w:lineRule="exact"/>
        <w:ind w:firstLineChars="200" w:firstLine="560"/>
        <w:rPr>
          <w:rFonts w:ascii="仿宋" w:eastAsia="仿宋" w:hAnsi="仿宋"/>
          <w:sz w:val="28"/>
          <w:szCs w:val="28"/>
        </w:rPr>
      </w:pPr>
      <w:r w:rsidRPr="00AA3861">
        <w:rPr>
          <w:rFonts w:ascii="仿宋" w:eastAsia="仿宋" w:hAnsi="仿宋" w:hint="eastAsia"/>
          <w:sz w:val="28"/>
          <w:szCs w:val="28"/>
        </w:rPr>
        <w:t>“超级细菌”在印度被报道后引起广泛关注，随着CRKP检出率持续攀升，遏制细菌耐药已成为全球共识。多重耐药、高</w:t>
      </w:r>
      <w:proofErr w:type="gramStart"/>
      <w:r w:rsidRPr="00AA3861">
        <w:rPr>
          <w:rFonts w:ascii="仿宋" w:eastAsia="仿宋" w:hAnsi="仿宋" w:hint="eastAsia"/>
          <w:sz w:val="28"/>
          <w:szCs w:val="28"/>
        </w:rPr>
        <w:t>致死率耳念珠</w:t>
      </w:r>
      <w:proofErr w:type="gramEnd"/>
      <w:r w:rsidRPr="00AA3861">
        <w:rPr>
          <w:rFonts w:ascii="仿宋" w:eastAsia="仿宋" w:hAnsi="仿宋" w:hint="eastAsia"/>
          <w:sz w:val="28"/>
          <w:szCs w:val="28"/>
        </w:rPr>
        <w:t>菌的出现让人们对念珠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耐药有了深刻的认识，耐药菌引起的念珠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感染患者死亡率远超过敏感菌，更值得警惕的是全球范围内侵袭性感染耐药念珠菌占比仍在提升。然而目前，我们对念珠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耐药机理的认识较为局限，不同念珠菌的耐药机制存在差别，而同种念珠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不同株间耐药机制也存在个体差异。在许多真菌病原体中，基因突变与药物耐药存在很大关系。耐药基因突变引起的氨基酸点突变与耐药的关系缺乏相关研究。深入解析念珠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耐药机制，厘清耐药发生和发展的原因，对于防治耐药病原体感染及预后，防范其传播具有重要意义和临床价值。</w:t>
      </w:r>
    </w:p>
    <w:p w14:paraId="5EAC5789" w14:textId="77777777" w:rsidR="00EC77E9" w:rsidRPr="00AA3861" w:rsidRDefault="00000000" w:rsidP="00AA3861">
      <w:pPr>
        <w:spacing w:line="440" w:lineRule="exact"/>
        <w:ind w:firstLineChars="200" w:firstLine="560"/>
        <w:rPr>
          <w:rFonts w:ascii="仿宋" w:eastAsia="仿宋" w:hAnsi="仿宋"/>
          <w:sz w:val="28"/>
          <w:szCs w:val="28"/>
        </w:rPr>
      </w:pPr>
      <w:r w:rsidRPr="00AA3861">
        <w:rPr>
          <w:rFonts w:ascii="仿宋" w:eastAsia="仿宋" w:hAnsi="仿宋" w:hint="eastAsia"/>
          <w:sz w:val="28"/>
          <w:szCs w:val="28"/>
        </w:rPr>
        <w:t>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耐药产生涉及药物结合靶位结构改变导致的药物与病原体亲和力降低、药物相关外排</w:t>
      </w:r>
      <w:proofErr w:type="gramStart"/>
      <w:r w:rsidRPr="00AA3861">
        <w:rPr>
          <w:rFonts w:ascii="仿宋" w:eastAsia="仿宋" w:hAnsi="仿宋" w:hint="eastAsia"/>
          <w:sz w:val="28"/>
          <w:szCs w:val="28"/>
        </w:rPr>
        <w:t>泵高表达</w:t>
      </w:r>
      <w:proofErr w:type="gramEnd"/>
      <w:r w:rsidRPr="00AA3861">
        <w:rPr>
          <w:rFonts w:ascii="仿宋" w:eastAsia="仿宋" w:hAnsi="仿宋" w:hint="eastAsia"/>
          <w:sz w:val="28"/>
          <w:szCs w:val="28"/>
        </w:rPr>
        <w:t>、多倍体、生物膜的产生等多个方面，但具体机制尚未得到验证。对侵袭性感染链状念珠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耐药研究发现该类念珠菌对氟康</w:t>
      </w:r>
      <w:proofErr w:type="gramStart"/>
      <w:r w:rsidRPr="00AA3861">
        <w:rPr>
          <w:rFonts w:ascii="仿宋" w:eastAsia="仿宋" w:hAnsi="仿宋" w:hint="eastAsia"/>
          <w:sz w:val="28"/>
          <w:szCs w:val="28"/>
        </w:rPr>
        <w:t>唑</w:t>
      </w:r>
      <w:proofErr w:type="gramEnd"/>
      <w:r w:rsidRPr="00AA3861">
        <w:rPr>
          <w:rFonts w:ascii="仿宋" w:eastAsia="仿宋" w:hAnsi="仿宋" w:hint="eastAsia"/>
          <w:sz w:val="28"/>
          <w:szCs w:val="28"/>
        </w:rPr>
        <w:t>耐药率为63.6%，对</w:t>
      </w:r>
      <w:proofErr w:type="gramStart"/>
      <w:r w:rsidRPr="00AA3861">
        <w:rPr>
          <w:rFonts w:ascii="仿宋" w:eastAsia="仿宋" w:hAnsi="仿宋" w:hint="eastAsia"/>
          <w:sz w:val="28"/>
          <w:szCs w:val="28"/>
        </w:rPr>
        <w:t>棘</w:t>
      </w:r>
      <w:proofErr w:type="gramEnd"/>
      <w:r w:rsidRPr="00AA3861">
        <w:rPr>
          <w:rFonts w:ascii="仿宋" w:eastAsia="仿宋" w:hAnsi="仿宋" w:hint="eastAsia"/>
          <w:sz w:val="28"/>
          <w:szCs w:val="28"/>
        </w:rPr>
        <w:t>白菌素类的耐药率为54.5%，二者交叉耐药率为45.5%，耐药率远超白念珠菌等真菌病原体。链状念珠</w:t>
      </w:r>
      <w:proofErr w:type="gramStart"/>
      <w:r w:rsidRPr="00AA3861">
        <w:rPr>
          <w:rFonts w:ascii="仿宋" w:eastAsia="仿宋" w:hAnsi="仿宋" w:hint="eastAsia"/>
          <w:sz w:val="28"/>
          <w:szCs w:val="28"/>
        </w:rPr>
        <w:t>菌</w:t>
      </w:r>
      <w:proofErr w:type="gramEnd"/>
      <w:r w:rsidRPr="00AA3861">
        <w:rPr>
          <w:rFonts w:ascii="仿宋" w:eastAsia="仿宋" w:hAnsi="仿宋" w:hint="eastAsia"/>
          <w:i/>
          <w:iCs/>
          <w:sz w:val="28"/>
          <w:szCs w:val="28"/>
        </w:rPr>
        <w:t>ERG11</w:t>
      </w:r>
      <w:r w:rsidRPr="00AA3861">
        <w:rPr>
          <w:rFonts w:ascii="仿宋" w:eastAsia="仿宋" w:hAnsi="仿宋" w:hint="eastAsia"/>
          <w:sz w:val="28"/>
          <w:szCs w:val="28"/>
        </w:rPr>
        <w:t>基因Y132F或K143R突变与</w:t>
      </w:r>
      <w:proofErr w:type="gramStart"/>
      <w:r w:rsidRPr="00AA3861">
        <w:rPr>
          <w:rFonts w:ascii="仿宋" w:eastAsia="仿宋" w:hAnsi="仿宋" w:hint="eastAsia"/>
          <w:sz w:val="28"/>
          <w:szCs w:val="28"/>
        </w:rPr>
        <w:t>唑</w:t>
      </w:r>
      <w:proofErr w:type="gramEnd"/>
      <w:r w:rsidRPr="00AA3861">
        <w:rPr>
          <w:rFonts w:ascii="仿宋" w:eastAsia="仿宋" w:hAnsi="仿宋" w:hint="eastAsia"/>
          <w:sz w:val="28"/>
          <w:szCs w:val="28"/>
        </w:rPr>
        <w:t>类耐药相关，F126L、F126L+L139F突变菌株氟康</w:t>
      </w:r>
      <w:proofErr w:type="gramStart"/>
      <w:r w:rsidRPr="00AA3861">
        <w:rPr>
          <w:rFonts w:ascii="仿宋" w:eastAsia="仿宋" w:hAnsi="仿宋" w:hint="eastAsia"/>
          <w:sz w:val="28"/>
          <w:szCs w:val="28"/>
        </w:rPr>
        <w:t>唑</w:t>
      </w:r>
      <w:proofErr w:type="gramEnd"/>
      <w:r w:rsidRPr="00AA3861">
        <w:rPr>
          <w:rFonts w:ascii="仿宋" w:eastAsia="仿宋" w:hAnsi="仿宋" w:hint="eastAsia"/>
          <w:sz w:val="28"/>
          <w:szCs w:val="28"/>
        </w:rPr>
        <w:t>MIC值升高8倍；</w:t>
      </w:r>
      <w:r w:rsidRPr="00AA3861">
        <w:rPr>
          <w:rFonts w:ascii="仿宋" w:eastAsia="仿宋" w:hAnsi="仿宋" w:hint="eastAsia"/>
          <w:i/>
          <w:iCs/>
          <w:sz w:val="28"/>
          <w:szCs w:val="28"/>
        </w:rPr>
        <w:t>FKS1</w:t>
      </w:r>
      <w:r w:rsidRPr="00AA3861">
        <w:rPr>
          <w:rFonts w:ascii="仿宋" w:eastAsia="仿宋" w:hAnsi="仿宋" w:hint="eastAsia"/>
          <w:sz w:val="28"/>
          <w:szCs w:val="28"/>
        </w:rPr>
        <w:t>基因F621I、F621I+G1123S、S625L+F1354L、G1123S+I1348S突变菌株</w:t>
      </w:r>
      <w:proofErr w:type="gramStart"/>
      <w:r w:rsidRPr="00AA3861">
        <w:rPr>
          <w:rFonts w:ascii="仿宋" w:eastAsia="仿宋" w:hAnsi="仿宋" w:hint="eastAsia"/>
          <w:sz w:val="28"/>
          <w:szCs w:val="28"/>
        </w:rPr>
        <w:t>棘</w:t>
      </w:r>
      <w:proofErr w:type="gramEnd"/>
      <w:r w:rsidRPr="00AA3861">
        <w:rPr>
          <w:rFonts w:ascii="仿宋" w:eastAsia="仿宋" w:hAnsi="仿宋" w:hint="eastAsia"/>
          <w:sz w:val="28"/>
          <w:szCs w:val="28"/>
        </w:rPr>
        <w:t>白菌素类MIC值均有升高，但耐药基因错义突变的具体单核苷酸突变意义尚未验证。</w:t>
      </w:r>
    </w:p>
    <w:p w14:paraId="14A70AEC" w14:textId="77777777" w:rsidR="00EC77E9" w:rsidRPr="00AA3861" w:rsidRDefault="00000000" w:rsidP="00AA3861">
      <w:pPr>
        <w:spacing w:line="440" w:lineRule="exact"/>
        <w:ind w:firstLineChars="200" w:firstLine="560"/>
        <w:rPr>
          <w:rFonts w:ascii="仿宋" w:eastAsia="仿宋" w:hAnsi="仿宋"/>
          <w:sz w:val="28"/>
          <w:szCs w:val="28"/>
        </w:rPr>
      </w:pPr>
      <w:r w:rsidRPr="00AA3861">
        <w:rPr>
          <w:rFonts w:ascii="仿宋" w:eastAsia="仿宋" w:hAnsi="仿宋" w:hint="eastAsia"/>
          <w:sz w:val="28"/>
          <w:szCs w:val="28"/>
        </w:rPr>
        <w:t>本项目</w:t>
      </w:r>
      <w:proofErr w:type="gramStart"/>
      <w:r w:rsidRPr="00AA3861">
        <w:rPr>
          <w:rFonts w:ascii="仿宋" w:eastAsia="仿宋" w:hAnsi="仿宋" w:hint="eastAsia"/>
          <w:sz w:val="28"/>
          <w:szCs w:val="28"/>
        </w:rPr>
        <w:t>拟针对</w:t>
      </w:r>
      <w:proofErr w:type="gramEnd"/>
      <w:r w:rsidRPr="00AA3861">
        <w:rPr>
          <w:rFonts w:ascii="仿宋" w:eastAsia="仿宋" w:hAnsi="仿宋" w:hint="eastAsia"/>
          <w:sz w:val="28"/>
          <w:szCs w:val="28"/>
        </w:rPr>
        <w:t>中国真菌病监测网收集的多重耐药链状念珠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开展念珠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耐药机制研究，通过CRISPR Cas9基因编辑技术、突变基因重组质粒基因转染等验证耐药基因单核苷酸突变的意义，外排泵基因和耐药靶基因表达量检测，生物膜定量检测等。验证耐药基因单核苷酸突变与菌株耐药的直接关系，揭示侵袭性感染链状念珠菌的耐药机制，探索念珠</w:t>
      </w:r>
      <w:proofErr w:type="gramStart"/>
      <w:r w:rsidRPr="00AA3861">
        <w:rPr>
          <w:rFonts w:ascii="仿宋" w:eastAsia="仿宋" w:hAnsi="仿宋" w:hint="eastAsia"/>
          <w:sz w:val="28"/>
          <w:szCs w:val="28"/>
        </w:rPr>
        <w:t>菌</w:t>
      </w:r>
      <w:proofErr w:type="gramEnd"/>
      <w:r w:rsidRPr="00AA3861">
        <w:rPr>
          <w:rFonts w:ascii="仿宋" w:eastAsia="仿宋" w:hAnsi="仿宋" w:hint="eastAsia"/>
          <w:sz w:val="28"/>
          <w:szCs w:val="28"/>
        </w:rPr>
        <w:t>耐药基因单核苷酸多态性（SNP）检测的临床应用，对耐药真菌感染的临床诊治具有积极意义。</w:t>
      </w:r>
    </w:p>
    <w:p w14:paraId="675AC5A4" w14:textId="77777777" w:rsidR="00EC77E9" w:rsidRDefault="00EC77E9"/>
    <w:p w14:paraId="205D107A" w14:textId="77777777" w:rsidR="00EC77E9" w:rsidRDefault="00EC77E9"/>
    <w:p w14:paraId="2D4DE160" w14:textId="77777777" w:rsidR="00EC77E9" w:rsidRDefault="00EC77E9"/>
    <w:p w14:paraId="1FCBFD8A" w14:textId="77777777" w:rsidR="00EC77E9" w:rsidRDefault="00EC77E9"/>
    <w:p w14:paraId="6FCA4C8E" w14:textId="77777777" w:rsidR="00EC77E9" w:rsidRDefault="00000000">
      <w:r>
        <w:rPr>
          <w:rFonts w:hint="eastAsia"/>
          <w:noProof/>
        </w:rPr>
        <w:drawing>
          <wp:inline distT="0" distB="0" distL="114300" distR="114300" wp14:anchorId="16D862FF" wp14:editId="065A9580">
            <wp:extent cx="5270500" cy="2855595"/>
            <wp:effectExtent l="0" t="0" r="12700" b="1460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7"/>
                    <a:stretch>
                      <a:fillRect/>
                    </a:stretch>
                  </pic:blipFill>
                  <pic:spPr>
                    <a:xfrm>
                      <a:off x="0" y="0"/>
                      <a:ext cx="5270500" cy="2855595"/>
                    </a:xfrm>
                    <a:prstGeom prst="rect">
                      <a:avLst/>
                    </a:prstGeom>
                  </pic:spPr>
                </pic:pic>
              </a:graphicData>
            </a:graphic>
          </wp:inline>
        </w:drawing>
      </w:r>
    </w:p>
    <w:p w14:paraId="3EE7D0FB" w14:textId="77777777" w:rsidR="00EC77E9" w:rsidRDefault="00000000">
      <w:pPr>
        <w:jc w:val="center"/>
        <w:rPr>
          <w:lang w:eastAsia="zh-Hans"/>
        </w:rPr>
      </w:pPr>
      <w:r>
        <w:rPr>
          <w:rFonts w:hint="eastAsia"/>
          <w:lang w:eastAsia="zh-Hans"/>
        </w:rPr>
        <w:t>图</w:t>
      </w:r>
      <w:r>
        <w:rPr>
          <w:lang w:eastAsia="zh-Hans"/>
        </w:rPr>
        <w:t xml:space="preserve">1 </w:t>
      </w:r>
      <w:r>
        <w:rPr>
          <w:rFonts w:hint="eastAsia"/>
          <w:lang w:eastAsia="zh-Hans"/>
        </w:rPr>
        <w:t>链状念珠菌时空分布图</w:t>
      </w:r>
    </w:p>
    <w:p w14:paraId="5E490E84" w14:textId="77777777" w:rsidR="00EC77E9" w:rsidRDefault="00EC77E9">
      <w:pPr>
        <w:jc w:val="center"/>
        <w:rPr>
          <w:lang w:eastAsia="zh-Hans"/>
        </w:rPr>
      </w:pPr>
    </w:p>
    <w:p w14:paraId="33BEB5EC" w14:textId="77777777" w:rsidR="00EC77E9" w:rsidRDefault="00000000">
      <w:pPr>
        <w:rPr>
          <w:lang w:eastAsia="zh-Hans"/>
        </w:rPr>
      </w:pPr>
      <w:r>
        <w:rPr>
          <w:rFonts w:hint="eastAsia"/>
          <w:noProof/>
          <w:lang w:eastAsia="zh-Hans"/>
        </w:rPr>
        <w:drawing>
          <wp:inline distT="0" distB="0" distL="114300" distR="114300" wp14:anchorId="5C260034" wp14:editId="38E2A747">
            <wp:extent cx="5273675" cy="1866265"/>
            <wp:effectExtent l="0" t="0" r="9525" b="1333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8"/>
                    <a:stretch>
                      <a:fillRect/>
                    </a:stretch>
                  </pic:blipFill>
                  <pic:spPr>
                    <a:xfrm>
                      <a:off x="0" y="0"/>
                      <a:ext cx="5273675" cy="1866265"/>
                    </a:xfrm>
                    <a:prstGeom prst="rect">
                      <a:avLst/>
                    </a:prstGeom>
                  </pic:spPr>
                </pic:pic>
              </a:graphicData>
            </a:graphic>
          </wp:inline>
        </w:drawing>
      </w:r>
    </w:p>
    <w:p w14:paraId="3655DBA7" w14:textId="77777777" w:rsidR="00EC77E9" w:rsidRDefault="00000000">
      <w:pPr>
        <w:jc w:val="center"/>
        <w:rPr>
          <w:lang w:eastAsia="zh-Hans"/>
        </w:rPr>
      </w:pPr>
      <w:r>
        <w:rPr>
          <w:rFonts w:hint="eastAsia"/>
          <w:lang w:eastAsia="zh-Hans"/>
        </w:rPr>
        <w:t>图</w:t>
      </w:r>
      <w:r>
        <w:rPr>
          <w:lang w:eastAsia="zh-Hans"/>
        </w:rPr>
        <w:t>2</w:t>
      </w:r>
      <w:r>
        <w:rPr>
          <w:rFonts w:hint="eastAsia"/>
          <w:lang w:eastAsia="zh-Hans"/>
        </w:rPr>
        <w:t xml:space="preserve"> </w:t>
      </w:r>
      <w:r>
        <w:rPr>
          <w:rFonts w:hint="eastAsia"/>
          <w:i/>
          <w:iCs/>
          <w:lang w:eastAsia="zh-Hans"/>
        </w:rPr>
        <w:t>ERG11</w:t>
      </w:r>
      <w:r>
        <w:rPr>
          <w:rFonts w:hint="eastAsia"/>
          <w:lang w:eastAsia="zh-Hans"/>
        </w:rPr>
        <w:t>和</w:t>
      </w:r>
      <w:r>
        <w:rPr>
          <w:rFonts w:hint="eastAsia"/>
          <w:i/>
          <w:iCs/>
          <w:lang w:eastAsia="zh-Hans"/>
        </w:rPr>
        <w:t>FKS1</w:t>
      </w:r>
      <w:r>
        <w:rPr>
          <w:rFonts w:hint="eastAsia"/>
          <w:lang w:eastAsia="zh-Hans"/>
        </w:rPr>
        <w:t>基因突变分别与唑类和棘白菌素类耐药相关性</w:t>
      </w:r>
    </w:p>
    <w:sectPr w:rsidR="00EC7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2186" w14:textId="77777777" w:rsidR="003A0B51" w:rsidRDefault="003A0B51" w:rsidP="00AA3861">
      <w:r>
        <w:separator/>
      </w:r>
    </w:p>
  </w:endnote>
  <w:endnote w:type="continuationSeparator" w:id="0">
    <w:p w14:paraId="0FC32037" w14:textId="77777777" w:rsidR="003A0B51" w:rsidRDefault="003A0B51" w:rsidP="00AA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F64A" w14:textId="77777777" w:rsidR="003A0B51" w:rsidRDefault="003A0B51" w:rsidP="00AA3861">
      <w:r>
        <w:separator/>
      </w:r>
    </w:p>
  </w:footnote>
  <w:footnote w:type="continuationSeparator" w:id="0">
    <w:p w14:paraId="396F7F83" w14:textId="77777777" w:rsidR="003A0B51" w:rsidRDefault="003A0B51" w:rsidP="00AA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DFDCF969"/>
    <w:rsid w:val="DBFB1DC6"/>
    <w:rsid w:val="DFDCF969"/>
    <w:rsid w:val="003A0B51"/>
    <w:rsid w:val="00AA3861"/>
    <w:rsid w:val="00EC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2E052"/>
  <w15:docId w15:val="{9D292693-F302-4D2E-911F-F5D5B9E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8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3861"/>
    <w:rPr>
      <w:kern w:val="2"/>
      <w:sz w:val="18"/>
      <w:szCs w:val="18"/>
    </w:rPr>
  </w:style>
  <w:style w:type="paragraph" w:styleId="a5">
    <w:name w:val="footer"/>
    <w:basedOn w:val="a"/>
    <w:link w:val="a6"/>
    <w:rsid w:val="00AA3861"/>
    <w:pPr>
      <w:tabs>
        <w:tab w:val="center" w:pos="4153"/>
        <w:tab w:val="right" w:pos="8306"/>
      </w:tabs>
      <w:snapToGrid w:val="0"/>
      <w:jc w:val="left"/>
    </w:pPr>
    <w:rPr>
      <w:sz w:val="18"/>
      <w:szCs w:val="18"/>
    </w:rPr>
  </w:style>
  <w:style w:type="character" w:customStyle="1" w:styleId="a6">
    <w:name w:val="页脚 字符"/>
    <w:basedOn w:val="a0"/>
    <w:link w:val="a5"/>
    <w:rsid w:val="00AA38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zhanminghua</dc:creator>
  <cp:lastModifiedBy>潘 利民</cp:lastModifiedBy>
  <cp:revision>2</cp:revision>
  <dcterms:created xsi:type="dcterms:W3CDTF">2022-10-27T01:23:00Z</dcterms:created>
  <dcterms:modified xsi:type="dcterms:W3CDTF">2022-10-27T01:23:00Z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