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0CB4B" w14:textId="42787801" w:rsidR="00E027E7" w:rsidRPr="00E027E7" w:rsidRDefault="00E027E7" w:rsidP="00E027E7">
      <w:pPr>
        <w:widowControl/>
        <w:spacing w:line="480" w:lineRule="exact"/>
        <w:jc w:val="center"/>
        <w:rPr>
          <w:rFonts w:ascii="仿宋" w:eastAsia="仿宋" w:hAnsi="仿宋" w:cs="Times New Roman" w:hint="eastAsia"/>
          <w:b/>
          <w:bCs/>
          <w:sz w:val="32"/>
          <w:szCs w:val="32"/>
        </w:rPr>
      </w:pPr>
      <w:r w:rsidRPr="00E027E7">
        <w:rPr>
          <w:rFonts w:ascii="仿宋" w:eastAsia="仿宋" w:hAnsi="仿宋" w:cs="Arial"/>
          <w:b/>
          <w:bCs/>
          <w:kern w:val="0"/>
          <w:sz w:val="32"/>
          <w:szCs w:val="32"/>
        </w:rPr>
        <w:t>局部进展期直肠癌新辅助治疗预测标记物的筛选、模型构建及作用机制研究</w:t>
      </w:r>
    </w:p>
    <w:p w14:paraId="596C1CF5" w14:textId="77777777" w:rsidR="00E027E7" w:rsidRDefault="00E027E7" w:rsidP="00E027E7">
      <w:pPr>
        <w:widowControl/>
        <w:spacing w:line="480" w:lineRule="exact"/>
        <w:ind w:firstLineChars="200" w:firstLine="560"/>
        <w:rPr>
          <w:rFonts w:ascii="仿宋" w:eastAsia="仿宋" w:hAnsi="仿宋" w:cs="Times New Roman"/>
          <w:sz w:val="28"/>
          <w:szCs w:val="28"/>
        </w:rPr>
      </w:pPr>
    </w:p>
    <w:p w14:paraId="6B79CACE" w14:textId="0393D557" w:rsidR="00E618DB" w:rsidRPr="00E027E7" w:rsidRDefault="00000000" w:rsidP="00E027E7">
      <w:pPr>
        <w:widowControl/>
        <w:spacing w:line="440" w:lineRule="exact"/>
        <w:ind w:firstLineChars="200" w:firstLine="560"/>
        <w:rPr>
          <w:rFonts w:ascii="仿宋" w:eastAsia="仿宋" w:hAnsi="仿宋" w:cs="Times New Roman"/>
          <w:color w:val="000000" w:themeColor="text1"/>
          <w:sz w:val="28"/>
          <w:szCs w:val="28"/>
        </w:rPr>
      </w:pPr>
      <w:r w:rsidRPr="00E027E7">
        <w:rPr>
          <w:rFonts w:ascii="仿宋" w:eastAsia="仿宋" w:hAnsi="仿宋" w:cs="Times New Roman"/>
          <w:sz w:val="28"/>
          <w:szCs w:val="28"/>
        </w:rPr>
        <w:t>目前无论最新版美国国立综合癌症网络（NCCN，National Comprehensive Cancer Network）指南及2020年的中国结直肠癌诊疗规范，均推荐对于中低位局部进展期直肠癌（locally advanced rectal cancer，LARC）患者新辅助治疗（</w:t>
      </w:r>
      <w:proofErr w:type="spellStart"/>
      <w:r w:rsidRPr="00E027E7">
        <w:rPr>
          <w:rFonts w:ascii="仿宋" w:eastAsia="仿宋" w:hAnsi="仿宋" w:cs="Times New Roman"/>
          <w:sz w:val="28"/>
          <w:szCs w:val="28"/>
        </w:rPr>
        <w:t>nCRT</w:t>
      </w:r>
      <w:proofErr w:type="spellEnd"/>
      <w:r w:rsidRPr="00E027E7">
        <w:rPr>
          <w:rFonts w:ascii="仿宋" w:eastAsia="仿宋" w:hAnsi="仿宋" w:cs="Times New Roman"/>
          <w:sz w:val="28"/>
          <w:szCs w:val="28"/>
        </w:rPr>
        <w:t>），即术前同步放化疗+全直肠系膜切除术+术后辅助化疗的“三明治”模式。较单纯行手术+术后辅助化疗，该模式明显改善LARC患者局部复发率和生存率，具有更佳的局部控制率及较低的心脏毒性反应，优于传统的术后放化疗。据统计，LARC患者术前行新辅助治疗的病理学完全缓解率（Pathological complete response rate，PCRR）可达20%，明显退缩/中度退缩者多数在20%-30%之间，尽管总体有效率尚可，但仍有一定比例的患者系无退缩或持续进展（即癌灶对放化疗不敏感）状态，那么如何在治疗过程中或术前准确评估新辅助治疗的效果，行个体化治疗，如对于敏感、效果明显者可继续下一疗程新辅助治疗，对于无明显效果或个体无耐受者，换用其他方案或直接行手术治疗。</w:t>
      </w:r>
      <w:r w:rsidRPr="00E027E7">
        <w:rPr>
          <w:rFonts w:ascii="仿宋" w:eastAsia="仿宋" w:hAnsi="仿宋" w:cs="Times New Roman" w:hint="eastAsia"/>
          <w:sz w:val="28"/>
          <w:szCs w:val="28"/>
        </w:rPr>
        <w:t>此外，</w:t>
      </w:r>
      <w:proofErr w:type="spellStart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nCRT</w:t>
      </w:r>
      <w:proofErr w:type="spellEnd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同时会带来严重不良反应，包括大便排空障碍、大便失禁等放射相关大肠功能障碍及性功能障碍等，且部分人群</w:t>
      </w:r>
      <w:proofErr w:type="spellStart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nCRT</w:t>
      </w:r>
      <w:proofErr w:type="spellEnd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不敏感，对这部分患者行新辅助治疗在增加其不良反应的同时延误治疗。因而，临床迫切需要建立一套LARC新辅助治疗疗效的预测模型。</w:t>
      </w:r>
    </w:p>
    <w:p w14:paraId="3A663D71" w14:textId="77777777" w:rsidR="00E618DB" w:rsidRPr="00E027E7" w:rsidRDefault="00000000" w:rsidP="00E027E7">
      <w:pPr>
        <w:widowControl/>
        <w:spacing w:line="440" w:lineRule="exact"/>
        <w:ind w:firstLineChars="200" w:firstLine="562"/>
        <w:rPr>
          <w:rFonts w:ascii="仿宋" w:eastAsia="仿宋" w:hAnsi="仿宋" w:cs="Times New Roman"/>
          <w:color w:val="000000" w:themeColor="text1"/>
          <w:sz w:val="28"/>
          <w:szCs w:val="28"/>
          <w:u w:val="thick"/>
        </w:rPr>
      </w:pP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本课题从临床问题出发，深入挖掘，将临床病理特征、分子生物学技术和影像诊断技术进行多学科融合，</w:t>
      </w:r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在查阅大量文献、生物信息技术筛选以及前期研究基础上提出：</w:t>
      </w: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构建基于多模态影像组学</w:t>
      </w:r>
      <w:r w:rsidRPr="00E027E7">
        <w:rPr>
          <w:rFonts w:ascii="仿宋" w:eastAsia="仿宋" w:hAnsi="仿宋" w:cs="Times New Roman" w:hint="eastAsia"/>
          <w:b/>
          <w:bCs/>
          <w:sz w:val="28"/>
          <w:szCs w:val="28"/>
          <w:u w:val="single"/>
        </w:rPr>
        <w:t>、临床特征</w:t>
      </w: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和分子生物学指标（TOM1L1）在内的预测模型（图1），</w:t>
      </w:r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在</w:t>
      </w:r>
      <w:proofErr w:type="gramStart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生信分析</w:t>
      </w:r>
      <w:proofErr w:type="gramEnd"/>
      <w:r w:rsidRPr="00E027E7">
        <w:rPr>
          <w:rFonts w:ascii="仿宋" w:eastAsia="仿宋" w:hAnsi="仿宋" w:cs="Times New Roman"/>
          <w:color w:val="000000" w:themeColor="text1"/>
          <w:sz w:val="28"/>
          <w:szCs w:val="28"/>
        </w:rPr>
        <w:t>TOM1L1与直肠癌作用通路的相关性中，筛选到相关性最好的机制</w:t>
      </w: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-p-TOM1L1--&gt;PI3K/AKT/mTOR--&gt;MYC/</w:t>
      </w:r>
      <w:proofErr w:type="spellStart"/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FoxO</w:t>
      </w:r>
      <w:proofErr w:type="spellEnd"/>
      <w:r w:rsidRPr="00E027E7">
        <w:rPr>
          <w:rFonts w:ascii="仿宋" w:eastAsia="仿宋" w:hAnsi="仿宋" w:cs="Times New Roman"/>
          <w:b/>
          <w:bCs/>
          <w:color w:val="000000" w:themeColor="text1"/>
          <w:sz w:val="28"/>
          <w:szCs w:val="28"/>
          <w:u w:val="single"/>
        </w:rPr>
        <w:t>（图2），</w:t>
      </w: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同时进行深入研究，为研制逆转耐药，增强放化疗敏感性的干预措施提供科学依据，从而提高R0切除率和保</w:t>
      </w:r>
      <w:proofErr w:type="gramStart"/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肛</w:t>
      </w:r>
      <w:proofErr w:type="gramEnd"/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率，提高生存期，降低复发</w:t>
      </w:r>
      <w:r w:rsidRPr="00E027E7">
        <w:rPr>
          <w:rFonts w:ascii="仿宋" w:eastAsia="仿宋" w:hAnsi="仿宋" w:cs="Times New Roman" w:hint="eastAsia"/>
          <w:b/>
          <w:bCs/>
          <w:sz w:val="28"/>
          <w:szCs w:val="28"/>
          <w:u w:val="single"/>
        </w:rPr>
        <w:t>率</w:t>
      </w:r>
      <w:r w:rsidRPr="00E027E7">
        <w:rPr>
          <w:rFonts w:ascii="仿宋" w:eastAsia="仿宋" w:hAnsi="仿宋" w:cs="Times New Roman"/>
          <w:b/>
          <w:bCs/>
          <w:sz w:val="28"/>
          <w:szCs w:val="28"/>
          <w:u w:val="single"/>
        </w:rPr>
        <w:t>，改善患者生活质量。</w:t>
      </w:r>
    </w:p>
    <w:p w14:paraId="7F4FF495" w14:textId="77777777" w:rsidR="00E618DB" w:rsidRDefault="00E618DB"/>
    <w:p w14:paraId="396704D8" w14:textId="77777777" w:rsidR="00E618DB" w:rsidRDefault="00E618DB"/>
    <w:p w14:paraId="4031B11A" w14:textId="77777777" w:rsidR="00E618DB" w:rsidRDefault="00E618DB"/>
    <w:p w14:paraId="49A78D5F" w14:textId="77777777" w:rsidR="00E618DB" w:rsidRDefault="00E618DB"/>
    <w:p w14:paraId="3BE7550C" w14:textId="77777777" w:rsidR="00E618DB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71CDF3C5" wp14:editId="050DCC06">
            <wp:extent cx="4810125" cy="2609850"/>
            <wp:effectExtent l="0" t="0" r="5715" b="1143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778A" w14:textId="77777777" w:rsidR="00E618DB" w:rsidRDefault="00000000">
      <w:pPr>
        <w:widowControl/>
        <w:spacing w:line="300" w:lineRule="auto"/>
        <w:ind w:firstLineChars="200" w:firstLine="422"/>
        <w:jc w:val="center"/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</w:pPr>
      <w:r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  <w:t>图</w:t>
      </w:r>
      <w:r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  <w:t xml:space="preserve">1 </w:t>
      </w:r>
      <w:r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  <w:t>构建</w:t>
      </w:r>
      <w:r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  <w:t>LARC</w:t>
      </w:r>
      <w:r>
        <w:rPr>
          <w:rFonts w:ascii="Times New Roman" w:eastAsia="楷体" w:hAnsi="Times New Roman" w:cs="Times New Roman"/>
          <w:b/>
          <w:bCs/>
          <w:color w:val="000000" w:themeColor="text1"/>
          <w:szCs w:val="21"/>
        </w:rPr>
        <w:t>新辅助治疗疗效预预测模型</w:t>
      </w:r>
    </w:p>
    <w:p w14:paraId="5714BC3A" w14:textId="77777777" w:rsidR="00E618DB" w:rsidRDefault="00E618DB">
      <w:pPr>
        <w:jc w:val="center"/>
      </w:pPr>
    </w:p>
    <w:p w14:paraId="5185E7C4" w14:textId="77777777" w:rsidR="00E618DB" w:rsidRDefault="00000000">
      <w:pPr>
        <w:jc w:val="center"/>
      </w:pPr>
      <w:r>
        <w:rPr>
          <w:rFonts w:hint="eastAsia"/>
          <w:noProof/>
        </w:rPr>
        <w:drawing>
          <wp:inline distT="0" distB="0" distL="114300" distR="114300" wp14:anchorId="7D58B49A" wp14:editId="4F158183">
            <wp:extent cx="4800600" cy="3873500"/>
            <wp:effectExtent l="0" t="0" r="0" b="12700"/>
            <wp:docPr id="2" name="图片 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3D39" w14:textId="77777777" w:rsidR="00E618DB" w:rsidRDefault="00000000">
      <w:pPr>
        <w:widowControl/>
        <w:spacing w:line="300" w:lineRule="auto"/>
        <w:ind w:firstLineChars="200" w:firstLine="482"/>
        <w:jc w:val="center"/>
        <w:rPr>
          <w:rFonts w:ascii="Times New Roman" w:eastAsia="楷体" w:hAnsi="Times New Roman" w:cs="Times New Roman"/>
          <w:b/>
          <w:bCs/>
          <w:sz w:val="24"/>
          <w:szCs w:val="28"/>
        </w:rPr>
      </w:pPr>
      <w:r>
        <w:rPr>
          <w:rFonts w:ascii="Times New Roman" w:eastAsia="楷体" w:hAnsi="Times New Roman" w:cs="Times New Roman"/>
          <w:b/>
          <w:bCs/>
          <w:sz w:val="24"/>
          <w:szCs w:val="28"/>
        </w:rPr>
        <w:t>图</w:t>
      </w:r>
      <w:r>
        <w:rPr>
          <w:rFonts w:ascii="Times New Roman" w:eastAsia="楷体" w:hAnsi="Times New Roman" w:cs="Times New Roman"/>
          <w:b/>
          <w:bCs/>
          <w:sz w:val="24"/>
          <w:szCs w:val="28"/>
        </w:rPr>
        <w:t xml:space="preserve">2. </w:t>
      </w:r>
      <w:r>
        <w:rPr>
          <w:rFonts w:ascii="Times New Roman" w:eastAsia="楷体" w:hAnsi="Times New Roman" w:cs="Times New Roman"/>
          <w:b/>
          <w:bCs/>
          <w:sz w:val="24"/>
          <w:szCs w:val="28"/>
        </w:rPr>
        <w:t>机制假说示意图</w:t>
      </w:r>
      <w:r>
        <w:rPr>
          <w:rFonts w:ascii="Times New Roman" w:eastAsia="楷体" w:hAnsi="Times New Roman" w:cs="Times New Roman" w:hint="eastAsia"/>
          <w:b/>
          <w:bCs/>
          <w:sz w:val="24"/>
          <w:szCs w:val="28"/>
        </w:rPr>
        <w:t>：</w:t>
      </w:r>
      <w:r>
        <w:rPr>
          <w:rFonts w:ascii="Times New Roman" w:eastAsia="楷体" w:hAnsi="Times New Roman" w:cs="Times New Roman"/>
          <w:b/>
          <w:bCs/>
          <w:sz w:val="24"/>
          <w:szCs w:val="28"/>
        </w:rPr>
        <w:t>p-TOM1L1--&gt;PI3K/AKT/mTOR--&gt;MYC/</w:t>
      </w:r>
      <w:proofErr w:type="spellStart"/>
      <w:r>
        <w:rPr>
          <w:rFonts w:ascii="Times New Roman" w:eastAsia="楷体" w:hAnsi="Times New Roman" w:cs="Times New Roman"/>
          <w:b/>
          <w:bCs/>
          <w:sz w:val="24"/>
          <w:szCs w:val="28"/>
        </w:rPr>
        <w:t>FoxO</w:t>
      </w:r>
      <w:proofErr w:type="spellEnd"/>
      <w:r>
        <w:rPr>
          <w:rFonts w:ascii="Times New Roman" w:eastAsia="楷体" w:hAnsi="Times New Roman" w:cs="Times New Roman"/>
          <w:b/>
          <w:bCs/>
          <w:sz w:val="24"/>
          <w:szCs w:val="28"/>
        </w:rPr>
        <w:t>信号通路</w:t>
      </w:r>
    </w:p>
    <w:p w14:paraId="784E6036" w14:textId="77777777" w:rsidR="00E618DB" w:rsidRDefault="00E618DB"/>
    <w:sectPr w:rsidR="00E618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1B381" w14:textId="77777777" w:rsidR="00021EB0" w:rsidRDefault="00021EB0" w:rsidP="00E027E7">
      <w:r>
        <w:separator/>
      </w:r>
    </w:p>
  </w:endnote>
  <w:endnote w:type="continuationSeparator" w:id="0">
    <w:p w14:paraId="79FA04D1" w14:textId="77777777" w:rsidR="00021EB0" w:rsidRDefault="00021EB0" w:rsidP="00E0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298926" w14:textId="77777777" w:rsidR="00021EB0" w:rsidRDefault="00021EB0" w:rsidP="00E027E7">
      <w:r>
        <w:separator/>
      </w:r>
    </w:p>
  </w:footnote>
  <w:footnote w:type="continuationSeparator" w:id="0">
    <w:p w14:paraId="528B468C" w14:textId="77777777" w:rsidR="00021EB0" w:rsidRDefault="00021EB0" w:rsidP="00E027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EyMGVhMDMwZWRjMDVhZTZmOTQxZjI3M2M3M2E1MDQifQ=="/>
  </w:docVars>
  <w:rsids>
    <w:rsidRoot w:val="00E618DB"/>
    <w:rsid w:val="00021EB0"/>
    <w:rsid w:val="00E027E7"/>
    <w:rsid w:val="00E618DB"/>
    <w:rsid w:val="0D9827D8"/>
    <w:rsid w:val="3080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0040A2"/>
  <w15:docId w15:val="{9D292693-F302-4D2E-911F-F5D5B9EB9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027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027E7"/>
    <w:rPr>
      <w:kern w:val="2"/>
      <w:sz w:val="18"/>
      <w:szCs w:val="18"/>
    </w:rPr>
  </w:style>
  <w:style w:type="paragraph" w:styleId="a5">
    <w:name w:val="footer"/>
    <w:basedOn w:val="a"/>
    <w:link w:val="a6"/>
    <w:rsid w:val="00E027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027E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潘 利民</cp:lastModifiedBy>
  <cp:revision>2</cp:revision>
  <dcterms:created xsi:type="dcterms:W3CDTF">2022-10-27T01:21:00Z</dcterms:created>
  <dcterms:modified xsi:type="dcterms:W3CDTF">2022-10-27T01:21:00Z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B6A41775BFEA4E278EADE4408656B7C4</vt:lpwstr>
  </property>
</Properties>
</file>