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  <w:b/>
          <w:bCs/>
          <w:sz w:val="28"/>
          <w:szCs w:val="36"/>
        </w:rPr>
        <w:t>生物样本承诺书</w:t>
      </w:r>
    </w:p>
    <w:p>
      <w:pPr>
        <w:rPr>
          <w:rFonts w:hint="eastAsia"/>
        </w:rPr>
      </w:pP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拟开展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。本研究采集样本量（采集例数）20例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，采集患者的血浆和PBMC</w:t>
      </w:r>
      <w:bookmarkStart w:id="0" w:name="_Hlk127775671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仅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用于</w:t>
      </w:r>
      <w:bookmarkEnd w:id="0"/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color w:val="000000"/>
          <w:spacing w:val="-4"/>
          <w:kern w:val="2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生物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样本在委托单位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需进行入厂检测，符合质量标准后，用于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highlight w:val="black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及生产工艺研究；如不符合质量标准则按照制备中心已批签的质量文件：不合格品和剩余产品管理规程进行销毁。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，由委托单位按照不合格品和剩余产品管理规程进行销毁。</w:t>
      </w:r>
    </w:p>
    <w:p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本项目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委托第三方检测单位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进行样本检测，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第三方检测资质证明和室间质评证书详见附件。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除以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u w:val="none"/>
          <w:lang w:val="en-US" w:eastAsia="zh-CN" w:bidi="ar"/>
        </w:rPr>
        <w:t>上研究外，生物样本不进行其他实验/试验项目的研究，不对外提供样本材料和信息，不擅自运输到国外检测，仅在第三方检测单位进行检验，在申办方生产场地用于注射液制备，特此承诺。如违背本条款规定，</w:t>
      </w: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承担由此所造成的不良后果和法律责任。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附件1：附件1.第三方检测资质证明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附件2：附件2.第三方检测室间质评证书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righ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right"/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right"/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FF0000"/>
          <w:sz w:val="24"/>
          <w:szCs w:val="24"/>
          <w:u w:val="none"/>
          <w:lang w:val="en-US" w:eastAsia="zh-CN"/>
        </w:rPr>
        <w:t>（       ）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righ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1" w:name="_GoBack"/>
      <w:bookmarkEnd w:id="1"/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2023年4月21日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kZDNjNjBhNDk2ODQyOTI3Mzc5Y2MzMzk2ODgyOGUifQ=="/>
    <w:docVar w:name="KSO_WPS_MARK_KEY" w:val="48914fd3-6ad9-4197-90b2-b95836f8b4b9"/>
  </w:docVars>
  <w:rsids>
    <w:rsidRoot w:val="0AFF3A04"/>
    <w:rsid w:val="0AFF3A04"/>
    <w:rsid w:val="3416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545</Characters>
  <Lines>0</Lines>
  <Paragraphs>0</Paragraphs>
  <TotalTime>0</TotalTime>
  <ScaleCrop>false</ScaleCrop>
  <LinksUpToDate>false</LinksUpToDate>
  <CharactersWithSpaces>548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2024-02-26T03:17:00Z</dcterms:created>
  <dc:creator>刘杰</dc:creator>
  <cp:lastModifiedBy>L ＆ Q</cp:lastModifiedBy>
  <dcterms:modified xsi:type="dcterms:W3CDTF">2024-07-26T02:45:37Z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59A10B87E0F4490E9513C2B7B770685C</vt:lpwstr>
  </property>
</Properties>
</file>